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CB4" w:rsidRPr="00E960BB" w:rsidRDefault="006D0CB4" w:rsidP="006D0CB4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6D0CB4" w:rsidRPr="009C54AE" w:rsidRDefault="006D0CB4" w:rsidP="006D0CB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D0CB4" w:rsidRPr="009C54AE" w:rsidRDefault="006D0CB4" w:rsidP="006D0CB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3F4539">
        <w:rPr>
          <w:rFonts w:ascii="Corbel" w:hAnsi="Corbel"/>
          <w:b/>
          <w:i/>
          <w:smallCaps/>
          <w:sz w:val="24"/>
          <w:szCs w:val="24"/>
        </w:rPr>
        <w:t>202</w:t>
      </w:r>
      <w:r>
        <w:rPr>
          <w:rFonts w:ascii="Corbel" w:hAnsi="Corbel"/>
          <w:b/>
          <w:i/>
          <w:smallCaps/>
          <w:sz w:val="24"/>
          <w:szCs w:val="24"/>
        </w:rPr>
        <w:t>3</w:t>
      </w:r>
      <w:r w:rsidRPr="003F4539">
        <w:rPr>
          <w:rFonts w:ascii="Corbel" w:hAnsi="Corbel"/>
          <w:b/>
          <w:i/>
          <w:smallCaps/>
          <w:sz w:val="24"/>
          <w:szCs w:val="24"/>
        </w:rPr>
        <w:t>-202</w:t>
      </w:r>
      <w:r>
        <w:rPr>
          <w:rFonts w:ascii="Corbel" w:hAnsi="Corbel"/>
          <w:b/>
          <w:i/>
          <w:smallCaps/>
          <w:sz w:val="24"/>
          <w:szCs w:val="24"/>
        </w:rPr>
        <w:t>6</w:t>
      </w:r>
    </w:p>
    <w:p w:rsidR="006D0CB4" w:rsidRDefault="006D0CB4" w:rsidP="006D0CB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6D0CB4" w:rsidRPr="003F4539" w:rsidRDefault="006D0CB4" w:rsidP="006D0CB4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3F4539">
        <w:rPr>
          <w:rFonts w:ascii="Corbel" w:hAnsi="Corbel"/>
          <w:b/>
          <w:sz w:val="20"/>
          <w:szCs w:val="20"/>
        </w:rPr>
        <w:t>Rok akademicki 202</w:t>
      </w:r>
      <w:r>
        <w:rPr>
          <w:rFonts w:ascii="Corbel" w:hAnsi="Corbel"/>
          <w:b/>
          <w:sz w:val="20"/>
          <w:szCs w:val="20"/>
        </w:rPr>
        <w:t>4</w:t>
      </w:r>
      <w:r w:rsidRPr="003F4539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</w:p>
    <w:p w:rsidR="006D0CB4" w:rsidRPr="009C54AE" w:rsidRDefault="006D0CB4" w:rsidP="006D0CB4">
      <w:pPr>
        <w:spacing w:after="0" w:line="240" w:lineRule="auto"/>
        <w:rPr>
          <w:rFonts w:ascii="Corbel" w:hAnsi="Corbel"/>
          <w:sz w:val="24"/>
          <w:szCs w:val="24"/>
        </w:rPr>
      </w:pPr>
    </w:p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D0CB4" w:rsidRPr="003F4539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F4539">
              <w:rPr>
                <w:rFonts w:ascii="Corbel" w:hAnsi="Corbel"/>
                <w:sz w:val="24"/>
                <w:szCs w:val="24"/>
              </w:rPr>
              <w:t>Psychologia kliniczna</w:t>
            </w:r>
          </w:p>
        </w:tc>
      </w:tr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20A7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D0CB4" w:rsidRPr="003F4539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F4539">
              <w:rPr>
                <w:rFonts w:ascii="Corbel" w:hAnsi="Corbel"/>
                <w:sz w:val="24"/>
                <w:szCs w:val="24"/>
              </w:rPr>
              <w:t>Rok 2, semestr 4</w:t>
            </w:r>
          </w:p>
        </w:tc>
      </w:tr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Pasternak</w:t>
            </w:r>
          </w:p>
        </w:tc>
      </w:tr>
      <w:tr w:rsidR="006D0CB4" w:rsidRPr="009C54AE" w:rsidTr="002829F9">
        <w:tc>
          <w:tcPr>
            <w:tcW w:w="2694" w:type="dxa"/>
            <w:vAlign w:val="center"/>
          </w:tcPr>
          <w:p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6D0CB4" w:rsidRPr="009C54AE" w:rsidRDefault="006D0CB4" w:rsidP="006D0CB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6D0CB4" w:rsidRPr="009C54AE" w:rsidRDefault="006D0CB4" w:rsidP="006D0CB4">
      <w:pPr>
        <w:pStyle w:val="Podpunkty"/>
        <w:ind w:left="0"/>
        <w:rPr>
          <w:rFonts w:ascii="Corbel" w:hAnsi="Corbel"/>
          <w:sz w:val="24"/>
          <w:szCs w:val="24"/>
        </w:rPr>
      </w:pPr>
    </w:p>
    <w:p w:rsidR="006D0CB4" w:rsidRPr="009C54AE" w:rsidRDefault="006D0CB4" w:rsidP="006D0CB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D0CB4" w:rsidRPr="009C54AE" w:rsidRDefault="006D0CB4" w:rsidP="006D0CB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6D0CB4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B4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D0CB4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6D0CB4" w:rsidRPr="009C54AE" w:rsidRDefault="006D0CB4" w:rsidP="006D0CB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D0CB4" w:rsidRPr="009C54AE" w:rsidRDefault="006D0CB4" w:rsidP="006D0CB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D0CB4" w:rsidRPr="009C54AE" w:rsidRDefault="006D0CB4" w:rsidP="006D0CB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6D0CB4" w:rsidRPr="00DA4EBE" w:rsidRDefault="006D0CB4" w:rsidP="006D0CB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6D0CB4" w:rsidRPr="009C54AE" w:rsidRDefault="006D0CB4" w:rsidP="006D0CB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D0CB4" w:rsidRPr="009C54AE" w:rsidRDefault="006D0CB4" w:rsidP="006D0C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6D0CB4" w:rsidRDefault="006D0CB4" w:rsidP="006D0CB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:rsidR="006D0CB4" w:rsidRDefault="006D0CB4" w:rsidP="006D0CB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D0CB4" w:rsidRPr="009C54AE" w:rsidTr="002829F9">
        <w:tc>
          <w:tcPr>
            <w:tcW w:w="9670" w:type="dxa"/>
          </w:tcPr>
          <w:p w:rsidR="006D0CB4" w:rsidRPr="009C54AE" w:rsidRDefault="006D0CB4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pedagogiki, psychologii ogólnej, psychologii rozwojowej</w:t>
            </w:r>
          </w:p>
        </w:tc>
      </w:tr>
    </w:tbl>
    <w:p w:rsidR="006D0CB4" w:rsidRDefault="006D0CB4" w:rsidP="006D0CB4">
      <w:pPr>
        <w:pStyle w:val="Punktygwne"/>
        <w:spacing w:before="0" w:after="0"/>
        <w:rPr>
          <w:rFonts w:ascii="Corbel" w:hAnsi="Corbel"/>
          <w:szCs w:val="24"/>
        </w:rPr>
      </w:pPr>
    </w:p>
    <w:p w:rsidR="006D0CB4" w:rsidRPr="00C05F44" w:rsidRDefault="006D0CB4" w:rsidP="006D0CB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6D0CB4" w:rsidRPr="00C05F44" w:rsidRDefault="006D0CB4" w:rsidP="006D0CB4">
      <w:pPr>
        <w:pStyle w:val="Punktygwne"/>
        <w:spacing w:before="0" w:after="0"/>
        <w:rPr>
          <w:rFonts w:ascii="Corbel" w:hAnsi="Corbel"/>
          <w:szCs w:val="24"/>
        </w:rPr>
      </w:pPr>
    </w:p>
    <w:p w:rsidR="006D0CB4" w:rsidRDefault="006D0CB4" w:rsidP="006D0CB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6D0CB4" w:rsidRPr="009C54AE" w:rsidRDefault="006D0CB4" w:rsidP="006D0CB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6D0CB4" w:rsidRPr="009C54AE" w:rsidTr="002829F9">
        <w:tc>
          <w:tcPr>
            <w:tcW w:w="851" w:type="dxa"/>
            <w:vAlign w:val="center"/>
          </w:tcPr>
          <w:p w:rsidR="006D0CB4" w:rsidRPr="009C54AE" w:rsidRDefault="006D0CB4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Zapoznanie studenta z podstawowymi zagadnieniami psychologii klinicznej,</w:t>
            </w:r>
          </w:p>
          <w:p w:rsidR="006D0CB4" w:rsidRPr="008D5FE2" w:rsidRDefault="006D0CB4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5FE2">
              <w:rPr>
                <w:rFonts w:ascii="Corbel" w:hAnsi="Corbel"/>
                <w:b w:val="0"/>
                <w:bCs/>
                <w:sz w:val="24"/>
                <w:szCs w:val="24"/>
              </w:rPr>
              <w:t>przyczynami i objawami zaburzeń psychicznych oraz zaburzeń zachowania</w:t>
            </w:r>
          </w:p>
        </w:tc>
      </w:tr>
      <w:tr w:rsidR="006D0CB4" w:rsidRPr="009C54AE" w:rsidTr="002829F9">
        <w:tc>
          <w:tcPr>
            <w:tcW w:w="851" w:type="dxa"/>
            <w:vAlign w:val="center"/>
          </w:tcPr>
          <w:p w:rsidR="006D0CB4" w:rsidRPr="009C54AE" w:rsidRDefault="006D0CB4" w:rsidP="002829F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 xml:space="preserve">Kształtowanie podstawowych umiejętności w zakresie rozpoznawania i rozumienia kontekstu powstawania zaburzeń psychicznych i zachowania </w:t>
            </w:r>
          </w:p>
        </w:tc>
      </w:tr>
      <w:tr w:rsidR="006D0CB4" w:rsidRPr="009C54AE" w:rsidTr="002829F9">
        <w:tc>
          <w:tcPr>
            <w:tcW w:w="851" w:type="dxa"/>
            <w:vAlign w:val="center"/>
          </w:tcPr>
          <w:p w:rsidR="006D0CB4" w:rsidRPr="009C54AE" w:rsidRDefault="006D0CB4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Kształtowanie podstawowych umiejętności w zakresie: udzielania pomocy w formie odpowiednich interwencji terapeutyczno-wychowawczych, współpracy z rodzicami i specjalistami</w:t>
            </w:r>
          </w:p>
        </w:tc>
      </w:tr>
    </w:tbl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D0CB4" w:rsidRPr="009C54AE" w:rsidRDefault="006D0CB4" w:rsidP="006D0CB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6D0CB4" w:rsidRPr="009C54AE" w:rsidRDefault="006D0CB4" w:rsidP="006D0CB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6D0CB4" w:rsidRPr="009C54AE" w:rsidTr="002829F9">
        <w:tc>
          <w:tcPr>
            <w:tcW w:w="1680" w:type="dxa"/>
            <w:vAlign w:val="center"/>
          </w:tcPr>
          <w:p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0CB4" w:rsidRPr="009C54AE" w:rsidTr="002829F9">
        <w:tc>
          <w:tcPr>
            <w:tcW w:w="1680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6D0CB4" w:rsidRPr="00E75CA0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Przedstawi </w:t>
            </w:r>
            <w:r w:rsidRPr="00521CC2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w zaawansowanym stopniu</w:t>
            </w:r>
            <w:r w:rsidRPr="00521CC2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podmiotowe i metodologiczne powiązania wiedzy z zakresu nauk o rodzinie z psychologią kliniczną</w:t>
            </w:r>
          </w:p>
        </w:tc>
        <w:tc>
          <w:tcPr>
            <w:tcW w:w="1865" w:type="dxa"/>
          </w:tcPr>
          <w:p w:rsidR="006D0CB4" w:rsidRPr="00E75CA0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5CA0">
              <w:rPr>
                <w:rFonts w:ascii="Corbel" w:hAnsi="Corbel"/>
                <w:b w:val="0"/>
                <w:bCs/>
                <w:szCs w:val="24"/>
              </w:rPr>
              <w:t>K_W02</w:t>
            </w:r>
          </w:p>
        </w:tc>
      </w:tr>
      <w:tr w:rsidR="006D0CB4" w:rsidRPr="009C54AE" w:rsidTr="002829F9">
        <w:tc>
          <w:tcPr>
            <w:tcW w:w="1680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podmiotowe i zdrowotne aspekty rozwoju człowieka, społeczne funkcjonowanie jednostki i grupy, psychologiczne i biologiczne ujęcie rozwoju człowieka i osobowości, problematykę więzi i relacji w rodzinie.</w:t>
            </w:r>
          </w:p>
        </w:tc>
        <w:tc>
          <w:tcPr>
            <w:tcW w:w="1865" w:type="dxa"/>
          </w:tcPr>
          <w:p w:rsidR="006D0CB4" w:rsidRPr="0023426F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426F">
              <w:rPr>
                <w:rFonts w:ascii="Corbel" w:hAnsi="Corbel"/>
                <w:b w:val="0"/>
                <w:bCs/>
                <w:szCs w:val="24"/>
              </w:rPr>
              <w:t>K_W04</w:t>
            </w:r>
          </w:p>
        </w:tc>
      </w:tr>
      <w:tr w:rsidR="006D0CB4" w:rsidRPr="009C54AE" w:rsidTr="002829F9">
        <w:tc>
          <w:tcPr>
            <w:tcW w:w="1680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 i selekcji informacji (z wykorzystaniem różnorodnych źródeł) związanych z biologicznym rozwojem jednostki oraz oceni jej funkcjonowanie społeczne, emocjonalne, strukturę osobowości, zwłaszcza w środowisku rodzinnym.</w:t>
            </w:r>
          </w:p>
        </w:tc>
        <w:tc>
          <w:tcPr>
            <w:tcW w:w="1865" w:type="dxa"/>
          </w:tcPr>
          <w:p w:rsidR="006D0CB4" w:rsidRPr="00414FB1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14FB1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="006D0CB4" w:rsidRPr="009C54AE" w:rsidTr="002829F9">
        <w:tc>
          <w:tcPr>
            <w:tcW w:w="1680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D0CB4" w:rsidRPr="004D3BA0" w:rsidRDefault="006D0CB4" w:rsidP="002829F9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 w:rsidRPr="004D3BA0">
              <w:rPr>
                <w:b w:val="0"/>
                <w:bCs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rzeprowadzi badania niezbędne do opracowania diagnoz związanych z potrzebami rodziny i relacjami zachodzącymi pomiędzy poszczególnymi członkami, zidentyfikuje procesy psychiczne i mechanizmy funkcjonowania osób w rodzinie. Dokona analizy zjawisk społecznych zachodzących w rodzinie, określi różnice indywidualne i ich implikacje dla wychowania, kształcenia oraz zdrowego funkcjonowania rodziny.</w:t>
            </w:r>
          </w:p>
        </w:tc>
        <w:tc>
          <w:tcPr>
            <w:tcW w:w="1865" w:type="dxa"/>
          </w:tcPr>
          <w:p w:rsidR="006D0CB4" w:rsidRPr="004D3BA0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3BA0">
              <w:rPr>
                <w:rFonts w:ascii="Corbel" w:hAnsi="Corbel"/>
                <w:b w:val="0"/>
                <w:bCs/>
                <w:szCs w:val="24"/>
              </w:rPr>
              <w:t>K_U05</w:t>
            </w:r>
          </w:p>
        </w:tc>
      </w:tr>
      <w:tr w:rsidR="006D0CB4" w:rsidRPr="009C54AE" w:rsidTr="002829F9">
        <w:tc>
          <w:tcPr>
            <w:tcW w:w="1680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D0CB4" w:rsidRPr="00C84063" w:rsidRDefault="006D0CB4" w:rsidP="002829F9">
            <w:pPr>
              <w:pStyle w:val="Punktygwne"/>
              <w:spacing w:before="0" w:after="0"/>
              <w:rPr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przydatność różnych metod, procedur, dobrych praktyk w zakresie odbioru i przetwarzania informacji oraz rozwiązywania problemów i radzenia sobie ze stresem poszczególnych członków rodziny (problemy zdrowotne, związane z przewlekłą chorobą, niepełnosprawnością, zaburzeniami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psychicznymi a także problemy materialne, wychowawcze) oraz rodziny jako społecznego systemu</w:t>
            </w:r>
          </w:p>
        </w:tc>
        <w:tc>
          <w:tcPr>
            <w:tcW w:w="1865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3BA0">
              <w:rPr>
                <w:rFonts w:ascii="Corbel" w:hAnsi="Corbel"/>
                <w:b w:val="0"/>
                <w:bCs/>
                <w:szCs w:val="24"/>
              </w:rPr>
              <w:lastRenderedPageBreak/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9</w:t>
            </w:r>
          </w:p>
        </w:tc>
      </w:tr>
      <w:tr w:rsidR="006D0CB4" w:rsidRPr="009C54AE" w:rsidTr="002829F9">
        <w:tc>
          <w:tcPr>
            <w:tcW w:w="1680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D0CB4" w:rsidRPr="00C84063" w:rsidRDefault="006D0CB4" w:rsidP="002829F9">
            <w:pPr>
              <w:pStyle w:val="Punktygwne"/>
              <w:spacing w:before="0" w:after="0"/>
              <w:rPr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Zidentyfikuje procesy psychiczne i mechanizmy funkcjonowania człowieka, aby podjąć indywidualne i zespołowe działania pomocowe w środowisku na rzecz rodziny</w:t>
            </w:r>
          </w:p>
        </w:tc>
        <w:tc>
          <w:tcPr>
            <w:tcW w:w="1865" w:type="dxa"/>
          </w:tcPr>
          <w:p w:rsidR="006D0CB4" w:rsidRPr="00E76F19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F19">
              <w:rPr>
                <w:rFonts w:ascii="Corbel" w:hAnsi="Corbel"/>
                <w:b w:val="0"/>
                <w:bCs/>
                <w:szCs w:val="24"/>
              </w:rPr>
              <w:t>K_K02</w:t>
            </w:r>
          </w:p>
        </w:tc>
      </w:tr>
    </w:tbl>
    <w:p w:rsidR="006D0CB4" w:rsidRDefault="006D0CB4" w:rsidP="006D0CB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D0CB4" w:rsidRPr="009C54AE" w:rsidRDefault="006D0CB4" w:rsidP="006D0CB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6D0CB4" w:rsidRPr="009C54AE" w:rsidRDefault="006D0CB4" w:rsidP="006D0CB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D0CB4" w:rsidRPr="009C54AE" w:rsidRDefault="006D0CB4" w:rsidP="006D0CB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D0CB4" w:rsidRPr="009C54AE" w:rsidTr="002829F9">
        <w:tc>
          <w:tcPr>
            <w:tcW w:w="9520" w:type="dxa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8D5FE2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1. Przedmiot i zadania psychologii klinicznej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2. Pojęcie normy, orientacja patogenetyczna i salutogenetyczna w psychologii klinicznej,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075E">
              <w:rPr>
                <w:rFonts w:ascii="Corbel" w:hAnsi="Corbel"/>
                <w:sz w:val="24"/>
                <w:szCs w:val="24"/>
              </w:rPr>
              <w:t>klasyfikacje  ICD-10 i DSM-5, specyfika diagnozy w psychologii klinicznej dzieci i młodzieży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8D5FE2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3. Rodzina a rozwój psychiczny dziecka, rodzina jako system, cykle życia rodzinnego według Haleya, znaczenie pozycji w rodzinie na rozwój osobowości i funkcjonowania społecznego dzieck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4. Zaburzenia neurozwojowe – ogólna charakterystyka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5. Specyficzne zaburzenia rozwoju dziecka (zaburzenia rozwoju umiejętności szkolnych, zaburzenia w komunikowaniu się, zaburzenia psychomotoryczne, zaburzenia kontroli wydalania, zaburzenia psychoseksualne, zaburzenia z tikami, inne zaburzenia okresu dzieciństwa)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6. Zaburzenia nastroju, samobójstwa dzieci i młodzieży, celowe samouszkodzenie</w:t>
            </w:r>
          </w:p>
        </w:tc>
      </w:tr>
    </w:tbl>
    <w:p w:rsidR="006D0CB4" w:rsidRPr="009C54AE" w:rsidRDefault="006D0CB4" w:rsidP="006D0CB4">
      <w:pPr>
        <w:spacing w:after="0" w:line="240" w:lineRule="auto"/>
        <w:rPr>
          <w:rFonts w:ascii="Corbel" w:hAnsi="Corbel"/>
          <w:sz w:val="24"/>
          <w:szCs w:val="24"/>
        </w:rPr>
      </w:pPr>
    </w:p>
    <w:p w:rsidR="006D0CB4" w:rsidRPr="009C54AE" w:rsidRDefault="006D0CB4" w:rsidP="006D0CB4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D0CB4" w:rsidRPr="009C54AE" w:rsidRDefault="006D0CB4" w:rsidP="006D0CB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1.Niepełnosprawność intelektualna (przyczyny, obraz kliniczny, charakterystyka funkcjonowania osób z różnym stopniem upośledzenia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2.Koncepcje stresu psychologicznego, radzenie sobie ze stresem w rodzinie, stres traumatyczny, potraumatyczny wzrost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3. Nadpobudliwość psychoruchowa – ADHD (przyczyny, obraz kliniczny, diagnoza, postępowanie z dzieckiem z ADHD w szkole i w domu, terapia)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4. Prawidłowe i dysfunkcjonalne funkcjonowanie systemu rodzinnego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5. Zaburzenia ze spektrum autyzmu (rodzaje, obraz kliniczny, diagnoza, terapia, postępowanie z dzieckiem w szkole i w domu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6. Zaburzenia emocjonalne i lękowe (reaktywne zaburzenie przywiązania, lęk separacyjny, uogólnione zaburzenie lękowe, zaburzenie obsesyjno-kompulsyjne, inne zaburzenia lękowe, ostra reakcja na stres, zaburzenia stresowe pourazowe, fobie dziecięce)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lastRenderedPageBreak/>
              <w:t>7. Zaburzenia zachowania: zaburzenia opozycyjno-buntownicze, zaburzenia kontroli zachowania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8. Zaburzenia odżywiania się</w:t>
            </w:r>
          </w:p>
        </w:tc>
      </w:tr>
      <w:tr w:rsidR="006D0CB4" w:rsidRPr="009C54AE" w:rsidTr="002829F9">
        <w:tc>
          <w:tcPr>
            <w:tcW w:w="9520" w:type="dxa"/>
          </w:tcPr>
          <w:p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9. Kolokwium</w:t>
            </w:r>
          </w:p>
        </w:tc>
      </w:tr>
    </w:tbl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0CB4" w:rsidRPr="009C54AE" w:rsidRDefault="006D0CB4" w:rsidP="006D0CB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6D0CB4" w:rsidRPr="00153C41" w:rsidRDefault="006D0CB4" w:rsidP="006D0CB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6D0CB4" w:rsidRPr="008D5FE2" w:rsidRDefault="006D0CB4" w:rsidP="006D0CB4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8D5FE2">
        <w:rPr>
          <w:rFonts w:ascii="Corbel" w:hAnsi="Corbel"/>
          <w:b w:val="0"/>
          <w:iCs/>
          <w:szCs w:val="24"/>
        </w:rPr>
        <w:t xml:space="preserve"> </w:t>
      </w:r>
      <w:r w:rsidRPr="008D5FE2">
        <w:rPr>
          <w:rFonts w:ascii="Corbel" w:hAnsi="Corbel"/>
          <w:b w:val="0"/>
          <w:iCs/>
          <w:smallCaps w:val="0"/>
          <w:szCs w:val="24"/>
        </w:rPr>
        <w:t>Wykład: wykład z prezentacją multimedialną,</w:t>
      </w:r>
    </w:p>
    <w:p w:rsidR="006D0CB4" w:rsidRPr="008D5FE2" w:rsidRDefault="006D0CB4" w:rsidP="006D0CB4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8D5FE2"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 (projekt badawczy), praca w grupach (rozwiązywanie zadań, dyskusja) </w:t>
      </w:r>
    </w:p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D0CB4" w:rsidRDefault="006D0CB4" w:rsidP="006D0C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D0CB4" w:rsidRPr="009C54AE" w:rsidRDefault="006D0CB4" w:rsidP="006D0C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6D0CB4" w:rsidRPr="009C54AE" w:rsidRDefault="006D0CB4" w:rsidP="006D0C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D0CB4" w:rsidRPr="009C54AE" w:rsidRDefault="006D0CB4" w:rsidP="006D0C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6D0CB4" w:rsidRPr="009C54AE" w:rsidTr="002829F9">
        <w:tc>
          <w:tcPr>
            <w:tcW w:w="1962" w:type="dxa"/>
            <w:vAlign w:val="center"/>
          </w:tcPr>
          <w:p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D0CB4" w:rsidRPr="009C54AE" w:rsidTr="002829F9">
        <w:tc>
          <w:tcPr>
            <w:tcW w:w="1962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6D0CB4" w:rsidRPr="009C54AE" w:rsidTr="002829F9">
        <w:tc>
          <w:tcPr>
            <w:tcW w:w="1962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6D0CB4" w:rsidRPr="009C54AE" w:rsidTr="002829F9">
        <w:tc>
          <w:tcPr>
            <w:tcW w:w="1962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6D0CB4" w:rsidRPr="009C54AE" w:rsidTr="002829F9">
        <w:tc>
          <w:tcPr>
            <w:tcW w:w="1962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6D0CB4" w:rsidRPr="009C54AE" w:rsidTr="002829F9">
        <w:tc>
          <w:tcPr>
            <w:tcW w:w="1962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6D0CB4" w:rsidRPr="009C54AE" w:rsidTr="002829F9">
        <w:tc>
          <w:tcPr>
            <w:tcW w:w="1962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17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</w:tbl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D0CB4" w:rsidRPr="009C54AE" w:rsidRDefault="006D0CB4" w:rsidP="006D0C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D0CB4" w:rsidRPr="009C54AE" w:rsidRDefault="006D0CB4" w:rsidP="006D0C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D0CB4" w:rsidRPr="009C54AE" w:rsidTr="002829F9">
        <w:tc>
          <w:tcPr>
            <w:tcW w:w="9670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D0CB4" w:rsidRDefault="006D0CB4" w:rsidP="002829F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D615D">
              <w:rPr>
                <w:b w:val="0"/>
                <w:smallCaps w:val="0"/>
                <w:szCs w:val="24"/>
              </w:rPr>
              <w:t xml:space="preserve">Wykład: zaliczenie w formie kolokwium </w:t>
            </w:r>
          </w:p>
          <w:p w:rsidR="006D0CB4" w:rsidRPr="003F4539" w:rsidRDefault="006D0CB4" w:rsidP="002829F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Ćwiczenia: obecność na zajęciach, kolokwium, praca projektowa</w:t>
            </w:r>
          </w:p>
        </w:tc>
      </w:tr>
    </w:tbl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D0CB4" w:rsidRPr="009C54AE" w:rsidRDefault="006D0CB4" w:rsidP="006D0CB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D0CB4" w:rsidRPr="009C54AE" w:rsidTr="002829F9">
        <w:tc>
          <w:tcPr>
            <w:tcW w:w="4962" w:type="dxa"/>
            <w:vAlign w:val="center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D0CB4" w:rsidRPr="009C54AE" w:rsidTr="002829F9">
        <w:tc>
          <w:tcPr>
            <w:tcW w:w="4962" w:type="dxa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D0CB4" w:rsidRPr="009C54AE" w:rsidTr="002829F9">
        <w:tc>
          <w:tcPr>
            <w:tcW w:w="4962" w:type="dxa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D0CB4" w:rsidRPr="009C54AE" w:rsidTr="002829F9">
        <w:tc>
          <w:tcPr>
            <w:tcW w:w="4962" w:type="dxa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do kolokwium, napisanie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6D0CB4" w:rsidRPr="009C54AE" w:rsidTr="002829F9">
        <w:tc>
          <w:tcPr>
            <w:tcW w:w="4962" w:type="dxa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D0CB4" w:rsidRPr="009C54AE" w:rsidTr="002829F9">
        <w:tc>
          <w:tcPr>
            <w:tcW w:w="4962" w:type="dxa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6D0CB4" w:rsidRPr="009C54AE" w:rsidRDefault="006D0CB4" w:rsidP="006D0CB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6D0CB4" w:rsidRPr="009C54AE" w:rsidRDefault="006D0CB4" w:rsidP="006D0CB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D0CB4" w:rsidRPr="009C54AE" w:rsidTr="002829F9">
        <w:trPr>
          <w:trHeight w:val="397"/>
        </w:trPr>
        <w:tc>
          <w:tcPr>
            <w:tcW w:w="3544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D0CB4" w:rsidRPr="009C54AE" w:rsidTr="002829F9">
        <w:trPr>
          <w:trHeight w:val="397"/>
        </w:trPr>
        <w:tc>
          <w:tcPr>
            <w:tcW w:w="3544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6D0CB4" w:rsidRPr="009C54AE" w:rsidRDefault="006D0CB4" w:rsidP="006D0CB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6D0CB4" w:rsidRPr="009C54AE" w:rsidRDefault="006D0CB4" w:rsidP="006D0CB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D0CB4" w:rsidRPr="009C54AE" w:rsidTr="002829F9">
        <w:trPr>
          <w:trHeight w:val="397"/>
        </w:trPr>
        <w:tc>
          <w:tcPr>
            <w:tcW w:w="7513" w:type="dxa"/>
          </w:tcPr>
          <w:p w:rsidR="006D0CB4" w:rsidRPr="008D5FE2" w:rsidRDefault="006D0CB4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8D5F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Pasternak J., Perenc L., Radochoński M. Podstawy psychopatologii dla pedagogów. Wydawnictwo UR, Rzeszów, 2017.</w:t>
            </w:r>
          </w:p>
          <w:p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Gajdowie M i M. Rodzice w akcji. Jak przekazywać dzieciom wartości. Częstochowa, Edycja Świętego Pawła, 2010.</w:t>
            </w:r>
          </w:p>
          <w:p w:rsidR="006D0CB4" w:rsidRPr="009220A7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 xml:space="preserve">Gmitrowicz A., Janas-Kozik M. Zaburzenia psychiczne dzieci i młodzieży. </w:t>
            </w:r>
            <w:r w:rsidRPr="009220A7">
              <w:rPr>
                <w:rFonts w:ascii="Corbel" w:hAnsi="Corbel"/>
                <w:sz w:val="24"/>
                <w:szCs w:val="24"/>
              </w:rPr>
              <w:t>Warszawa, Medical Tribune, 2018.</w:t>
            </w:r>
          </w:p>
          <w:p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bCs/>
                <w:sz w:val="24"/>
                <w:szCs w:val="24"/>
              </w:rPr>
              <w:t>Kazdin A. Weisz J. -  Psychoterapia dzieci i młodzieży. Kraków, Wyd. UJ, 2006.</w:t>
            </w:r>
          </w:p>
          <w:p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8D5FE2">
              <w:rPr>
                <w:rFonts w:ascii="Corbel" w:hAnsi="Corbel"/>
                <w:bCs/>
                <w:sz w:val="24"/>
                <w:szCs w:val="24"/>
              </w:rPr>
              <w:t>Kendall P.C. Zaburzenia okresu dzieciństwa i adolescencji. Mechanizmy zaburzeń i techniki terapeutyczne. GWP, Gdańsk, 2004.</w:t>
            </w:r>
          </w:p>
          <w:p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 xml:space="preserve">Kołakowski A. ADHD - zespół nadpobudliwości psychoruchowej: przewodnik dla rodziców i wychowawców. Gdańskie Wydawnictwo Psychologiczne, Sopot, 2012. </w:t>
            </w:r>
          </w:p>
          <w:p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Marcelli D. Psychopatologia wieku dziecięcego. Wrocław, Elsevier Urban &amp; Partner, 2013.</w:t>
            </w:r>
          </w:p>
          <w:p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  <w:lang w:val="en-US"/>
              </w:rPr>
              <w:t xml:space="preserve">Rosenhan D.L. Walker E.F., Seligman M.E.P. Psychopatologia. </w:t>
            </w:r>
            <w:r w:rsidRPr="008D5FE2">
              <w:rPr>
                <w:rFonts w:ascii="Corbel" w:hAnsi="Corbel"/>
                <w:sz w:val="24"/>
                <w:szCs w:val="24"/>
              </w:rPr>
              <w:t>Zysk i S-ka, Poznań, 2017</w:t>
            </w:r>
          </w:p>
          <w:p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Sęk H. (red). Psychologia kliniczna t 1 i 2. PWN, Warszawa, 2013.</w:t>
            </w:r>
          </w:p>
          <w:p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b/>
                <w:bCs/>
                <w:sz w:val="24"/>
                <w:szCs w:val="24"/>
              </w:rPr>
              <w:t> </w:t>
            </w:r>
            <w:r w:rsidRPr="008D5FE2">
              <w:rPr>
                <w:rFonts w:ascii="Corbel" w:hAnsi="Corbel"/>
                <w:sz w:val="24"/>
                <w:szCs w:val="24"/>
              </w:rPr>
              <w:t>Sęk H. – Wprowadzenie do psychologii klinicznej. W-wa, Wydawnictwo Naukowe SCHOLAR, 2012.</w:t>
            </w:r>
          </w:p>
          <w:p w:rsidR="006D0CB4" w:rsidRPr="00941CE6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 xml:space="preserve">Zasępa E, Gałkowski T. Oblicza psychologii klinicznej. Gdańsk, Gdańskie Wydawnictwo Psychologiczne, 2014. </w:t>
            </w:r>
          </w:p>
        </w:tc>
      </w:tr>
      <w:tr w:rsidR="006D0CB4" w:rsidRPr="009C54AE" w:rsidTr="002829F9">
        <w:trPr>
          <w:trHeight w:val="397"/>
        </w:trPr>
        <w:tc>
          <w:tcPr>
            <w:tcW w:w="7513" w:type="dxa"/>
          </w:tcPr>
          <w:p w:rsidR="006D0CB4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8D5FE2">
              <w:rPr>
                <w:rFonts w:ascii="Corbel" w:hAnsi="Corbel"/>
                <w:bCs/>
                <w:sz w:val="24"/>
                <w:szCs w:val="24"/>
              </w:rPr>
              <w:t>Carson R., Butcher J.R., Mineka S. Psychologia zaburzeń. Człowiek we współczesnym świecie. GWP, Gdańsk 2003.</w:t>
            </w:r>
          </w:p>
          <w:p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Cierpiałkowska L. Psychopatologia. Warszawa, Wydawnictwo Naukowe SCHOLAR, 2018.</w:t>
            </w:r>
          </w:p>
          <w:p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Jablow M. Anoreksja, bulimia, otyłość. GWP, Gdańsk, 2000.</w:t>
            </w:r>
          </w:p>
          <w:p w:rsidR="006D0CB4" w:rsidRPr="008D5FE2" w:rsidRDefault="006D0CB4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Kleszcz-Szczyrba R. „Witraże w ciemności”, czyli o przedwczesnej śmierci dziecka. Wydawnictwo Św. Jacka, Katowice, 2014.</w:t>
            </w:r>
          </w:p>
          <w:p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Namysłowska I. (red.). Psychiatria dzieci i młodzieży. Wydawnictwo Lekarskie PZWL, Warszawa, 2012.</w:t>
            </w:r>
          </w:p>
          <w:p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lastRenderedPageBreak/>
              <w:t>Radziwiłłowicz W., Sumiła A. Psychopatologia okresu dorastania. Oficyna wydawnicza „Impuls”, Kraków, 2006.</w:t>
            </w:r>
          </w:p>
          <w:p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Randall P.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8D5FE2">
              <w:rPr>
                <w:rFonts w:ascii="Corbel" w:hAnsi="Corbel"/>
                <w:sz w:val="24"/>
                <w:szCs w:val="24"/>
              </w:rPr>
              <w:t xml:space="preserve"> Parker J. Autyzm. Jak pomóc rodzinie. GWP, Gdańsk, 1999.</w:t>
            </w:r>
          </w:p>
          <w:p w:rsidR="006D0CB4" w:rsidRPr="008D5FE2" w:rsidRDefault="006D0CB4" w:rsidP="002829F9">
            <w:pPr>
              <w:pStyle w:val="Nagwek1"/>
              <w:shd w:val="clear" w:color="auto" w:fill="FFFFFF"/>
              <w:spacing w:before="0" w:line="276" w:lineRule="auto"/>
              <w:rPr>
                <w:rFonts w:ascii="Corbel" w:hAnsi="Corbel"/>
                <w:b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Święcicka M. W relacji. Studia z psychologii Klinicznej dziecka 30 lat później. Warszawa, Paradygmat, 2018.</w:t>
            </w:r>
          </w:p>
          <w:p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Święcicka M. Metody diagnozy w psychologii klinicznej dziecka i rodziny. Warszawa, Paradygmat, 2011.</w:t>
            </w:r>
          </w:p>
          <w:p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Wolańczyk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5FE2">
              <w:rPr>
                <w:rFonts w:ascii="Corbel" w:hAnsi="Corbel"/>
                <w:sz w:val="24"/>
                <w:szCs w:val="24"/>
              </w:rPr>
              <w:t>T., Kolakowski A., Skotnicka M. Nadpobudliwość psychoruchowa u dzieci.   Wyd. BiFolium, Lublin 1999.</w:t>
            </w:r>
          </w:p>
        </w:tc>
      </w:tr>
    </w:tbl>
    <w:p w:rsidR="006D0CB4" w:rsidRPr="009C54AE" w:rsidRDefault="006D0CB4" w:rsidP="006D0CB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D0CB4" w:rsidRPr="009C54AE" w:rsidRDefault="006D0CB4" w:rsidP="006D0CB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42D1A" w:rsidRDefault="006D0CB4" w:rsidP="006D0CB4">
      <w:r w:rsidRPr="009C54AE">
        <w:rPr>
          <w:rFonts w:ascii="Corbel" w:hAnsi="Corbel"/>
          <w:szCs w:val="24"/>
        </w:rPr>
        <w:t>Akceptacja Kierownika Jednostki lub osoby upoważnionej</w:t>
      </w:r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295" w:rsidRDefault="00A30295" w:rsidP="006D0CB4">
      <w:pPr>
        <w:spacing w:after="0" w:line="240" w:lineRule="auto"/>
      </w:pPr>
      <w:r>
        <w:separator/>
      </w:r>
    </w:p>
  </w:endnote>
  <w:endnote w:type="continuationSeparator" w:id="0">
    <w:p w:rsidR="00A30295" w:rsidRDefault="00A30295" w:rsidP="006D0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295" w:rsidRDefault="00A30295" w:rsidP="006D0CB4">
      <w:pPr>
        <w:spacing w:after="0" w:line="240" w:lineRule="auto"/>
      </w:pPr>
      <w:r>
        <w:separator/>
      </w:r>
    </w:p>
  </w:footnote>
  <w:footnote w:type="continuationSeparator" w:id="0">
    <w:p w:rsidR="00A30295" w:rsidRDefault="00A30295" w:rsidP="006D0CB4">
      <w:pPr>
        <w:spacing w:after="0" w:line="240" w:lineRule="auto"/>
      </w:pPr>
      <w:r>
        <w:continuationSeparator/>
      </w:r>
    </w:p>
  </w:footnote>
  <w:footnote w:id="1">
    <w:p w:rsidR="006D0CB4" w:rsidRDefault="006D0CB4" w:rsidP="006D0CB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21CF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CB4"/>
    <w:rsid w:val="00342D1A"/>
    <w:rsid w:val="006D0CB4"/>
    <w:rsid w:val="00A3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D5842-DA32-4247-9F69-B40BC214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0CB4"/>
  </w:style>
  <w:style w:type="paragraph" w:styleId="Nagwek1">
    <w:name w:val="heading 1"/>
    <w:basedOn w:val="Normalny"/>
    <w:next w:val="Normalny"/>
    <w:link w:val="Nagwek1Znak"/>
    <w:uiPriority w:val="1"/>
    <w:qFormat/>
    <w:rsid w:val="006D0C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6D0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6D0CB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D0CB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D0CB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D0CB4"/>
    <w:rPr>
      <w:vertAlign w:val="superscript"/>
    </w:rPr>
  </w:style>
  <w:style w:type="paragraph" w:customStyle="1" w:styleId="Punktygwne">
    <w:name w:val="Punkty główne"/>
    <w:basedOn w:val="Normalny"/>
    <w:rsid w:val="006D0CB4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6D0CB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D0CB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D0CB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6D0CB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D0CB4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6D0CB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D0CB4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6D0CB4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D0C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D0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1336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2024-06-11T15:24:00Z</dcterms:created>
  <dcterms:modified xsi:type="dcterms:W3CDTF">2024-06-11T15:25:00Z</dcterms:modified>
</cp:coreProperties>
</file>